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644D" w14:textId="77777777" w:rsidR="00641DB6" w:rsidRDefault="00F2125B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int="eastAsia"/>
          <w:b/>
          <w:color w:val="000000"/>
        </w:rPr>
        <w:t xml:space="preserve">  </w:t>
      </w:r>
      <w:r>
        <w:rPr>
          <w:rFonts w:ascii="宋体" w:hint="eastAsia"/>
          <w:color w:val="000000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关于举办第二十</w:t>
      </w:r>
      <w:r>
        <w:rPr>
          <w:rFonts w:ascii="方正小标宋简体" w:eastAsia="方正小标宋简体" w:hint="eastAsia"/>
          <w:sz w:val="44"/>
          <w:szCs w:val="44"/>
        </w:rPr>
        <w:t>一</w:t>
      </w:r>
      <w:r>
        <w:rPr>
          <w:rFonts w:ascii="方正小标宋简体" w:eastAsia="方正小标宋简体" w:hint="eastAsia"/>
          <w:sz w:val="44"/>
          <w:szCs w:val="44"/>
        </w:rPr>
        <w:t>届中国国际城市建设</w:t>
      </w:r>
    </w:p>
    <w:p w14:paraId="1AAEBFAF" w14:textId="77777777" w:rsidR="00641DB6" w:rsidRDefault="00F2125B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博览会的</w:t>
      </w:r>
      <w:r>
        <w:rPr>
          <w:rFonts w:ascii="方正小标宋简体" w:eastAsia="方正小标宋简体" w:hAnsi="Verdana" w:cs="宋体" w:hint="eastAsia"/>
          <w:bCs/>
          <w:sz w:val="44"/>
          <w:szCs w:val="44"/>
        </w:rPr>
        <w:t>通知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14:paraId="3CFC4AA8" w14:textId="77777777" w:rsidR="00641DB6" w:rsidRDefault="00F212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14:paraId="35C8DDB5" w14:textId="77777777" w:rsidR="00641DB6" w:rsidRDefault="00F2125B">
      <w:pPr>
        <w:pStyle w:val="af"/>
        <w:widowControl w:val="0"/>
        <w:spacing w:after="0" w:line="240" w:lineRule="auto"/>
        <w:ind w:left="0" w:rightChars="163" w:right="342" w:firstLineChars="196" w:firstLine="627"/>
        <w:contextualSpacing w:val="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202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年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11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日－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日，“第二十一届中国国际城市建设博览会”将在北京中国国际展览中心（新馆）举办。</w:t>
      </w:r>
    </w:p>
    <w:p w14:paraId="75EE37F3" w14:textId="77777777" w:rsidR="00641DB6" w:rsidRDefault="00F2125B">
      <w:pPr>
        <w:pStyle w:val="af"/>
        <w:widowControl w:val="0"/>
        <w:spacing w:after="0" w:line="240" w:lineRule="auto"/>
        <w:ind w:left="0" w:rightChars="163" w:right="342" w:firstLineChars="196" w:firstLine="627"/>
        <w:contextualSpacing w:val="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由商务部批准，住房和城乡建设部支持，中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国建筑文化中心主办的中国国际城市建设博览会（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城博会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），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集行业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主管部门、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相关学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协会、权威媒体之力，是展示城市建设成就、发展方向的全国最大规模展会，在已经举办的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20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届中，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始终致力于为城市人民政府、行业主管部门、相关企业提供规格高、影响大、效益好的集中宣传、展示、交流、合作平台。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城博会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也是我国在联合国推动设立的唯一国际日——“世界城市日”展示基地，视情展示城市形象和建设成果，并通过展览、论坛、交流等形式，与“世界城市日”活动共同宣传、互动。</w:t>
      </w:r>
    </w:p>
    <w:p w14:paraId="4EE56541" w14:textId="77777777" w:rsidR="00641DB6" w:rsidRDefault="00F2125B">
      <w:pPr>
        <w:pStyle w:val="af"/>
        <w:widowControl w:val="0"/>
        <w:spacing w:after="0" w:line="240" w:lineRule="auto"/>
        <w:ind w:left="0" w:rightChars="163" w:right="342" w:firstLineChars="196" w:firstLine="627"/>
        <w:contextualSpacing w:val="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 w:bidi="ar-SA"/>
        </w:rPr>
      </w:pP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第二十一届城博会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，恰逢建党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100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周年、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“十四五”开局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之际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，具有重大历史意义、社会影响。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本届城博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会将紧紧围绕城市管理、城市建设、建筑文化、新技术及应用、节能产品及新材料、智能停车系统六个方面内容，展示近年来城市建设新成就、新技术、新材料、新产品、新工艺及城市建设发展趋势，交流国内外城市建设先进经验和最新理念。</w:t>
      </w:r>
    </w:p>
    <w:p w14:paraId="516A51BE" w14:textId="77777777" w:rsidR="00641DB6" w:rsidRDefault="00F2125B">
      <w:pPr>
        <w:pStyle w:val="af"/>
        <w:widowControl w:val="0"/>
        <w:spacing w:after="0" w:line="240" w:lineRule="auto"/>
        <w:ind w:left="0" w:rightChars="163" w:right="342" w:firstLineChars="196" w:firstLine="627"/>
        <w:contextualSpacing w:val="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 w:bidi="ar-SA"/>
        </w:rPr>
        <w:t>组委会现诚挚邀请城市人民政府、行业主管部门及相关企事业单位前来参展、参会、参观，恳请支持做好组织工作。</w:t>
      </w:r>
    </w:p>
    <w:p w14:paraId="76CECBC6" w14:textId="77777777" w:rsidR="00641DB6" w:rsidRDefault="00F2125B">
      <w:pPr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一、</w:t>
      </w:r>
      <w:proofErr w:type="gramStart"/>
      <w:r>
        <w:rPr>
          <w:rFonts w:ascii="黑体" w:eastAsia="黑体" w:hAnsi="黑体" w:hint="eastAsia"/>
          <w:b/>
          <w:bCs/>
          <w:sz w:val="32"/>
          <w:szCs w:val="32"/>
        </w:rPr>
        <w:t>城博会</w:t>
      </w:r>
      <w:proofErr w:type="gramEnd"/>
      <w:r>
        <w:rPr>
          <w:rFonts w:ascii="黑体" w:eastAsia="黑体" w:hAnsi="黑体" w:hint="eastAsia"/>
          <w:b/>
          <w:bCs/>
          <w:sz w:val="32"/>
          <w:szCs w:val="32"/>
        </w:rPr>
        <w:t>名称、主题</w:t>
      </w:r>
    </w:p>
    <w:p w14:paraId="766C5E64" w14:textId="77777777" w:rsidR="00641DB6" w:rsidRDefault="00F2125B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名称：第二十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届中国国际城市建设博览会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14:paraId="366E1F16" w14:textId="77777777" w:rsidR="00641DB6" w:rsidRDefault="00F2125B">
      <w:pPr>
        <w:ind w:firstLine="645"/>
        <w:jc w:val="left"/>
        <w:rPr>
          <w:rFonts w:ascii="仿宋" w:eastAsia="仿宋" w:hAnsi="仿宋"/>
          <w:spacing w:val="-23"/>
          <w:sz w:val="32"/>
          <w:szCs w:val="32"/>
        </w:rPr>
      </w:pPr>
      <w:r>
        <w:rPr>
          <w:rFonts w:ascii="仿宋" w:eastAsia="仿宋" w:hAnsi="仿宋"/>
          <w:spacing w:val="-23"/>
          <w:sz w:val="32"/>
          <w:szCs w:val="32"/>
        </w:rPr>
        <w:t xml:space="preserve">The </w:t>
      </w:r>
      <w:r>
        <w:rPr>
          <w:rFonts w:ascii="仿宋" w:eastAsia="仿宋" w:hAnsi="仿宋" w:hint="eastAsia"/>
          <w:spacing w:val="-23"/>
          <w:sz w:val="32"/>
          <w:szCs w:val="32"/>
        </w:rPr>
        <w:t>2</w:t>
      </w:r>
      <w:r>
        <w:rPr>
          <w:rFonts w:ascii="仿宋" w:eastAsia="仿宋" w:hAnsi="仿宋" w:hint="eastAsia"/>
          <w:spacing w:val="-23"/>
          <w:sz w:val="32"/>
          <w:szCs w:val="32"/>
        </w:rPr>
        <w:t>1</w:t>
      </w:r>
      <w:proofErr w:type="gramStart"/>
      <w:r>
        <w:rPr>
          <w:rFonts w:ascii="仿宋" w:eastAsia="仿宋" w:hAnsi="仿宋"/>
          <w:spacing w:val="-23"/>
          <w:sz w:val="32"/>
          <w:szCs w:val="32"/>
          <w:vertAlign w:val="superscript"/>
        </w:rPr>
        <w:t xml:space="preserve">th </w:t>
      </w:r>
      <w:r>
        <w:rPr>
          <w:rFonts w:ascii="仿宋" w:eastAsia="仿宋" w:hAnsi="仿宋" w:hint="eastAsia"/>
          <w:spacing w:val="-23"/>
          <w:sz w:val="32"/>
          <w:szCs w:val="32"/>
          <w:vertAlign w:val="superscript"/>
        </w:rPr>
        <w:t xml:space="preserve"> </w:t>
      </w:r>
      <w:r>
        <w:rPr>
          <w:rFonts w:ascii="仿宋" w:eastAsia="仿宋" w:hAnsi="仿宋"/>
          <w:spacing w:val="-23"/>
          <w:sz w:val="32"/>
          <w:szCs w:val="32"/>
        </w:rPr>
        <w:t>China</w:t>
      </w:r>
      <w:proofErr w:type="gramEnd"/>
      <w:r>
        <w:rPr>
          <w:rFonts w:ascii="仿宋" w:eastAsia="仿宋" w:hAnsi="仿宋"/>
          <w:spacing w:val="-23"/>
          <w:sz w:val="32"/>
          <w:szCs w:val="32"/>
        </w:rPr>
        <w:t xml:space="preserve"> I</w:t>
      </w:r>
      <w:r>
        <w:rPr>
          <w:rFonts w:ascii="仿宋" w:eastAsia="仿宋" w:hAnsi="仿宋" w:hint="eastAsia"/>
          <w:spacing w:val="-23"/>
          <w:sz w:val="32"/>
          <w:szCs w:val="32"/>
        </w:rPr>
        <w:t>n</w:t>
      </w:r>
      <w:r>
        <w:rPr>
          <w:rFonts w:ascii="仿宋" w:eastAsia="仿宋" w:hAnsi="仿宋"/>
          <w:spacing w:val="-23"/>
          <w:sz w:val="32"/>
          <w:szCs w:val="32"/>
        </w:rPr>
        <w:t>ternati</w:t>
      </w:r>
      <w:r>
        <w:rPr>
          <w:rFonts w:ascii="仿宋" w:eastAsia="仿宋" w:hAnsi="仿宋" w:hint="eastAsia"/>
          <w:spacing w:val="-23"/>
          <w:sz w:val="32"/>
          <w:szCs w:val="32"/>
        </w:rPr>
        <w:t>o</w:t>
      </w:r>
      <w:r>
        <w:rPr>
          <w:rFonts w:ascii="仿宋" w:eastAsia="仿宋" w:hAnsi="仿宋"/>
          <w:spacing w:val="-23"/>
          <w:sz w:val="32"/>
          <w:szCs w:val="32"/>
        </w:rPr>
        <w:t>nal</w:t>
      </w:r>
      <w:r>
        <w:rPr>
          <w:rFonts w:ascii="仿宋" w:eastAsia="仿宋" w:hAnsi="仿宋" w:hint="eastAsia"/>
          <w:spacing w:val="-23"/>
          <w:sz w:val="32"/>
          <w:szCs w:val="32"/>
        </w:rPr>
        <w:t xml:space="preserve"> </w:t>
      </w:r>
      <w:r>
        <w:rPr>
          <w:rFonts w:ascii="仿宋" w:eastAsia="仿宋" w:hAnsi="仿宋"/>
          <w:spacing w:val="-23"/>
          <w:sz w:val="32"/>
          <w:szCs w:val="32"/>
        </w:rPr>
        <w:t xml:space="preserve"> Urban</w:t>
      </w:r>
      <w:r>
        <w:rPr>
          <w:rFonts w:ascii="仿宋" w:eastAsia="仿宋" w:hAnsi="仿宋" w:hint="eastAsia"/>
          <w:spacing w:val="-23"/>
          <w:sz w:val="32"/>
          <w:szCs w:val="32"/>
        </w:rPr>
        <w:t xml:space="preserve">  </w:t>
      </w:r>
      <w:r>
        <w:rPr>
          <w:rFonts w:ascii="仿宋" w:eastAsia="仿宋" w:hAnsi="仿宋"/>
          <w:spacing w:val="-23"/>
          <w:sz w:val="32"/>
          <w:szCs w:val="32"/>
        </w:rPr>
        <w:t xml:space="preserve">Construction </w:t>
      </w:r>
      <w:r>
        <w:rPr>
          <w:rFonts w:ascii="仿宋" w:eastAsia="仿宋" w:hAnsi="仿宋" w:hint="eastAsia"/>
          <w:spacing w:val="-23"/>
          <w:sz w:val="32"/>
          <w:szCs w:val="32"/>
        </w:rPr>
        <w:t xml:space="preserve"> </w:t>
      </w:r>
      <w:r>
        <w:rPr>
          <w:rFonts w:ascii="仿宋" w:eastAsia="仿宋" w:hAnsi="仿宋"/>
          <w:spacing w:val="-23"/>
          <w:sz w:val="32"/>
          <w:szCs w:val="32"/>
        </w:rPr>
        <w:t>Exposition</w:t>
      </w:r>
    </w:p>
    <w:p w14:paraId="39AB531A" w14:textId="77777777" w:rsidR="00641DB6" w:rsidRDefault="00F2125B">
      <w:pPr>
        <w:spacing w:line="228" w:lineRule="auto"/>
        <w:ind w:firstLineChars="200" w:firstLine="640"/>
        <w:rPr>
          <w:rFonts w:ascii="黑体" w:eastAsia="黑体"/>
          <w:sz w:val="30"/>
          <w:szCs w:val="30"/>
          <w:u w:val="double"/>
        </w:rPr>
      </w:pPr>
      <w:r>
        <w:rPr>
          <w:rFonts w:ascii="仿宋" w:eastAsia="仿宋" w:hAnsi="仿宋" w:hint="eastAsia"/>
          <w:sz w:val="32"/>
          <w:szCs w:val="32"/>
        </w:rPr>
        <w:t>主题：绿色发展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科技赋能</w:t>
      </w:r>
    </w:p>
    <w:p w14:paraId="7C9FEA8D" w14:textId="77777777" w:rsidR="00641DB6" w:rsidRDefault="00F2125B">
      <w:pPr>
        <w:ind w:firstLineChars="196" w:firstLine="63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二、时间、地点</w:t>
      </w:r>
    </w:p>
    <w:p w14:paraId="1DF628D2" w14:textId="77777777" w:rsidR="00641DB6" w:rsidRDefault="00F2125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－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0788D509" w14:textId="77777777" w:rsidR="00641DB6" w:rsidRDefault="00F2125B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地点：中国国际展览中心（新馆）</w:t>
      </w:r>
    </w:p>
    <w:p w14:paraId="27617E75" w14:textId="77777777" w:rsidR="00641DB6" w:rsidRDefault="00F2125B">
      <w:pPr>
        <w:ind w:firstLineChars="200" w:firstLine="64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三、组织机构</w:t>
      </w:r>
    </w:p>
    <w:p w14:paraId="623D0D38" w14:textId="77777777" w:rsidR="00641DB6" w:rsidRDefault="00F2125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（一）报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备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>
        <w:rPr>
          <w:rFonts w:ascii="楷体" w:eastAsia="楷体" w:hAnsi="楷体" w:hint="eastAsia"/>
          <w:sz w:val="32"/>
          <w:szCs w:val="32"/>
        </w:rPr>
        <w:t>单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位：</w:t>
      </w:r>
      <w:r>
        <w:rPr>
          <w:rFonts w:ascii="仿宋" w:eastAsia="仿宋" w:hAnsi="仿宋" w:hint="eastAsia"/>
          <w:sz w:val="32"/>
          <w:szCs w:val="32"/>
        </w:rPr>
        <w:t>中华人民共和国商务部</w:t>
      </w:r>
    </w:p>
    <w:p w14:paraId="5B30F875" w14:textId="77777777" w:rsidR="00641DB6" w:rsidRDefault="00F2125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（二）支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持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>
        <w:rPr>
          <w:rFonts w:ascii="楷体" w:eastAsia="楷体" w:hAnsi="楷体" w:hint="eastAsia"/>
          <w:sz w:val="32"/>
          <w:szCs w:val="32"/>
        </w:rPr>
        <w:t>单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位：</w:t>
      </w:r>
      <w:r>
        <w:rPr>
          <w:rFonts w:ascii="仿宋" w:eastAsia="仿宋" w:hAnsi="仿宋" w:hint="eastAsia"/>
          <w:sz w:val="32"/>
          <w:szCs w:val="32"/>
        </w:rPr>
        <w:t>中华人民共和国住房和城乡建设部</w:t>
      </w:r>
    </w:p>
    <w:p w14:paraId="00B8758D" w14:textId="77777777" w:rsidR="00641DB6" w:rsidRDefault="00F2125B">
      <w:pPr>
        <w:ind w:rightChars="189" w:right="397" w:firstLineChars="200" w:firstLine="640"/>
        <w:jc w:val="left"/>
        <w:rPr>
          <w:rFonts w:ascii="仿宋" w:eastAsia="楷体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（三）主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办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>
        <w:rPr>
          <w:rFonts w:ascii="楷体" w:eastAsia="楷体" w:hAnsi="楷体" w:hint="eastAsia"/>
          <w:sz w:val="32"/>
          <w:szCs w:val="32"/>
        </w:rPr>
        <w:t>单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位：</w:t>
      </w:r>
      <w:r>
        <w:rPr>
          <w:rFonts w:ascii="仿宋" w:eastAsia="仿宋" w:hAnsi="仿宋" w:hint="eastAsia"/>
          <w:sz w:val="32"/>
          <w:szCs w:val="32"/>
        </w:rPr>
        <w:t>中国建筑文化中心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br/>
      </w:r>
      <w:r>
        <w:rPr>
          <w:rFonts w:ascii="楷体" w:eastAsia="楷体" w:hAnsi="楷体" w:hint="eastAsia"/>
          <w:sz w:val="32"/>
          <w:szCs w:val="32"/>
        </w:rPr>
        <w:t xml:space="preserve">    (</w:t>
      </w:r>
      <w:r>
        <w:rPr>
          <w:rFonts w:ascii="楷体" w:eastAsia="楷体" w:hAnsi="楷体" w:hint="eastAsia"/>
          <w:sz w:val="32"/>
          <w:szCs w:val="32"/>
        </w:rPr>
        <w:t>四</w:t>
      </w:r>
      <w:r>
        <w:rPr>
          <w:rFonts w:ascii="楷体" w:eastAsia="楷体" w:hAnsi="楷体" w:hint="eastAsia"/>
          <w:sz w:val="32"/>
          <w:szCs w:val="32"/>
        </w:rPr>
        <w:t xml:space="preserve">) </w:t>
      </w:r>
      <w:r>
        <w:rPr>
          <w:rFonts w:ascii="楷体" w:eastAsia="楷体" w:hAnsi="楷体" w:hint="eastAsia"/>
          <w:sz w:val="32"/>
          <w:szCs w:val="32"/>
        </w:rPr>
        <w:t>战略合作单位</w:t>
      </w:r>
      <w:r>
        <w:rPr>
          <w:rFonts w:ascii="楷体" w:eastAsia="楷体" w:hAnsi="楷体" w:hint="eastAsia"/>
          <w:sz w:val="32"/>
          <w:szCs w:val="32"/>
        </w:rPr>
        <w:t>: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中国建设</w:t>
      </w:r>
      <w:r>
        <w:rPr>
          <w:rFonts w:ascii="仿宋" w:eastAsia="仿宋" w:hAnsi="仿宋" w:cs="仿宋" w:hint="eastAsia"/>
          <w:sz w:val="32"/>
          <w:szCs w:val="32"/>
        </w:rPr>
        <w:t>报社</w:t>
      </w:r>
      <w:r>
        <w:rPr>
          <w:rFonts w:ascii="楷体" w:eastAsia="楷体" w:hAnsi="楷体" w:hint="eastAsia"/>
          <w:sz w:val="32"/>
          <w:szCs w:val="32"/>
        </w:rPr>
        <w:br/>
        <w:t xml:space="preserve">    (</w:t>
      </w:r>
      <w:r>
        <w:rPr>
          <w:rFonts w:ascii="楷体" w:eastAsia="楷体" w:hAnsi="楷体" w:hint="eastAsia"/>
          <w:sz w:val="32"/>
          <w:szCs w:val="32"/>
        </w:rPr>
        <w:t>五</w:t>
      </w:r>
      <w:r>
        <w:rPr>
          <w:rFonts w:ascii="楷体" w:eastAsia="楷体" w:hAnsi="楷体" w:hint="eastAsia"/>
          <w:sz w:val="32"/>
          <w:szCs w:val="32"/>
        </w:rPr>
        <w:t xml:space="preserve">) </w:t>
      </w:r>
      <w:r>
        <w:rPr>
          <w:rFonts w:ascii="楷体" w:eastAsia="楷体" w:hAnsi="楷体" w:hint="eastAsia"/>
          <w:sz w:val="32"/>
          <w:szCs w:val="32"/>
        </w:rPr>
        <w:t>特别协办单位</w:t>
      </w:r>
      <w:r>
        <w:rPr>
          <w:rFonts w:ascii="楷体" w:eastAsia="楷体" w:hAnsi="楷体" w:hint="eastAsia"/>
          <w:sz w:val="32"/>
          <w:szCs w:val="32"/>
        </w:rPr>
        <w:t>: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建筑杂志社</w:t>
      </w:r>
      <w:r>
        <w:rPr>
          <w:rFonts w:ascii="楷体" w:eastAsia="楷体" w:hAnsi="楷体" w:hint="eastAsia"/>
          <w:sz w:val="32"/>
          <w:szCs w:val="32"/>
        </w:rPr>
        <w:br/>
        <w:t xml:space="preserve">    (</w:t>
      </w:r>
      <w:r>
        <w:rPr>
          <w:rFonts w:ascii="楷体" w:eastAsia="楷体" w:hAnsi="楷体" w:hint="eastAsia"/>
          <w:sz w:val="32"/>
          <w:szCs w:val="32"/>
        </w:rPr>
        <w:t>六</w:t>
      </w:r>
      <w:r>
        <w:rPr>
          <w:rFonts w:ascii="楷体" w:eastAsia="楷体" w:hAnsi="楷体" w:hint="eastAsia"/>
          <w:sz w:val="32"/>
          <w:szCs w:val="32"/>
        </w:rPr>
        <w:t xml:space="preserve">) </w:t>
      </w:r>
      <w:r>
        <w:rPr>
          <w:rFonts w:ascii="楷体" w:eastAsia="楷体" w:hAnsi="楷体" w:hint="eastAsia"/>
          <w:sz w:val="32"/>
          <w:szCs w:val="32"/>
        </w:rPr>
        <w:t>协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办</w:t>
      </w:r>
      <w:r>
        <w:rPr>
          <w:rFonts w:ascii="楷体" w:eastAsia="楷体" w:hAnsi="楷体" w:hint="eastAsia"/>
          <w:sz w:val="32"/>
          <w:szCs w:val="32"/>
        </w:rPr>
        <w:t xml:space="preserve">  </w:t>
      </w:r>
      <w:r>
        <w:rPr>
          <w:rFonts w:ascii="楷体" w:eastAsia="楷体" w:hAnsi="楷体" w:hint="eastAsia"/>
          <w:sz w:val="32"/>
          <w:szCs w:val="32"/>
        </w:rPr>
        <w:t>单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位：</w:t>
      </w:r>
      <w:r>
        <w:rPr>
          <w:rFonts w:ascii="仿宋" w:eastAsia="仿宋" w:hAnsi="仿宋" w:hint="eastAsia"/>
          <w:sz w:val="32"/>
          <w:szCs w:val="32"/>
        </w:rPr>
        <w:t>中国市政工程协会、中国建筑学会、中国土木工程学会、中国风景园林学会、中国建设会计学会、中国城市燃气协会、中国城镇供热协会、中国城镇供水排水协会、中国城市环境卫生协会、中国动物园协会、中国公园协会、中国城市公共交通协会、中国建设教育协会、中国建筑节能协会、中国民族建筑研究会绿色建筑与节能专业委员会、中</w:t>
      </w:r>
      <w:r>
        <w:rPr>
          <w:rFonts w:ascii="仿宋" w:eastAsia="仿宋" w:hAnsi="仿宋"/>
          <w:sz w:val="32"/>
          <w:szCs w:val="32"/>
        </w:rPr>
        <w:t>国</w:t>
      </w:r>
      <w:r>
        <w:rPr>
          <w:rFonts w:ascii="仿宋" w:eastAsia="仿宋" w:hAnsi="仿宋" w:hint="eastAsia"/>
          <w:sz w:val="32"/>
          <w:szCs w:val="32"/>
        </w:rPr>
        <w:t>城市</w:t>
      </w:r>
      <w:r>
        <w:rPr>
          <w:rFonts w:ascii="仿宋" w:eastAsia="仿宋" w:hAnsi="仿宋"/>
          <w:sz w:val="32"/>
          <w:szCs w:val="32"/>
        </w:rPr>
        <w:t>建设研究院</w:t>
      </w:r>
      <w:r>
        <w:rPr>
          <w:rFonts w:ascii="仿宋" w:eastAsia="仿宋" w:hAnsi="仿宋" w:hint="eastAsia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b/>
          <w:bCs/>
          <w:sz w:val="32"/>
          <w:szCs w:val="32"/>
        </w:rPr>
        <w:t>四、展示内容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14:paraId="3F825BEB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01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（一）综合展示部分</w:t>
      </w:r>
      <w:r>
        <w:rPr>
          <w:rFonts w:ascii="仿宋" w:eastAsia="仿宋" w:hAnsi="仿宋" w:hint="eastAsia"/>
          <w:sz w:val="32"/>
          <w:szCs w:val="32"/>
        </w:rPr>
        <w:t>——全面建设小康社会建设领域成就展</w:t>
      </w:r>
    </w:p>
    <w:p w14:paraId="070D1AF8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城市高质量发展宣</w:t>
      </w:r>
      <w:proofErr w:type="gramStart"/>
      <w:r>
        <w:rPr>
          <w:rFonts w:ascii="仿宋" w:eastAsia="仿宋" w:hAnsi="仿宋" w:hint="eastAsia"/>
          <w:sz w:val="32"/>
          <w:szCs w:val="32"/>
        </w:rPr>
        <w:t>介</w:t>
      </w:r>
      <w:proofErr w:type="gramEnd"/>
      <w:r>
        <w:rPr>
          <w:rFonts w:ascii="仿宋" w:eastAsia="仿宋" w:hAnsi="仿宋" w:hint="eastAsia"/>
          <w:sz w:val="32"/>
          <w:szCs w:val="32"/>
        </w:rPr>
        <w:t>展</w:t>
      </w:r>
    </w:p>
    <w:p w14:paraId="1CD05DCF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基于城市群一体化发展趋势</w:t>
      </w:r>
      <w:proofErr w:type="gramStart"/>
      <w:r>
        <w:rPr>
          <w:rFonts w:ascii="仿宋" w:eastAsia="仿宋" w:hAnsi="仿宋" w:hint="eastAsia"/>
          <w:sz w:val="32"/>
          <w:szCs w:val="32"/>
        </w:rPr>
        <w:t>考量</w:t>
      </w:r>
      <w:proofErr w:type="gramEnd"/>
      <w:r>
        <w:rPr>
          <w:rFonts w:ascii="仿宋" w:eastAsia="仿宋" w:hAnsi="仿宋" w:hint="eastAsia"/>
          <w:sz w:val="32"/>
          <w:szCs w:val="32"/>
        </w:rPr>
        <w:t>，以提升城市品质、探索城市更新、挖掘高质量样本为目标，围绕区域战略理论与实践、城市更新话题，以</w:t>
      </w:r>
      <w:r>
        <w:rPr>
          <w:rFonts w:ascii="仿宋" w:eastAsia="仿宋" w:hAnsi="仿宋" w:hint="eastAsia"/>
          <w:sz w:val="32"/>
          <w:szCs w:val="32"/>
        </w:rPr>
        <w:t>京津冀协同发展、粤港澳大湾区建设、长三角一体化、成渝双城</w:t>
      </w:r>
      <w:proofErr w:type="gramStart"/>
      <w:r>
        <w:rPr>
          <w:rFonts w:ascii="仿宋" w:eastAsia="仿宋" w:hAnsi="仿宋" w:hint="eastAsia"/>
          <w:sz w:val="32"/>
          <w:szCs w:val="32"/>
        </w:rPr>
        <w:t>经济圈四大</w:t>
      </w:r>
      <w:proofErr w:type="gramEnd"/>
      <w:r>
        <w:rPr>
          <w:rFonts w:ascii="仿宋" w:eastAsia="仿宋" w:hAnsi="仿宋" w:hint="eastAsia"/>
          <w:sz w:val="32"/>
          <w:szCs w:val="32"/>
        </w:rPr>
        <w:t>篇章</w:t>
      </w:r>
      <w:r>
        <w:rPr>
          <w:rFonts w:ascii="仿宋" w:eastAsia="仿宋" w:hAnsi="仿宋" w:hint="eastAsia"/>
          <w:sz w:val="32"/>
          <w:szCs w:val="32"/>
        </w:rPr>
        <w:t>，献礼建党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周年，展现中国区域发展新势力、新动态、新成就。</w:t>
      </w:r>
    </w:p>
    <w:p w14:paraId="00AB8D25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城镇老旧小区改造成果展</w:t>
      </w:r>
    </w:p>
    <w:p w14:paraId="505267BB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展示住</w:t>
      </w:r>
      <w:proofErr w:type="gramEnd"/>
      <w:r>
        <w:rPr>
          <w:rFonts w:ascii="仿宋" w:eastAsia="仿宋" w:hAnsi="仿宋" w:hint="eastAsia"/>
          <w:sz w:val="32"/>
          <w:szCs w:val="32"/>
        </w:rPr>
        <w:t>建部城镇老旧小区改造深化试点和社区居家</w:t>
      </w:r>
      <w:proofErr w:type="gramStart"/>
      <w:r>
        <w:rPr>
          <w:rFonts w:ascii="仿宋" w:eastAsia="仿宋" w:hAnsi="仿宋" w:hint="eastAsia"/>
          <w:sz w:val="32"/>
          <w:szCs w:val="32"/>
        </w:rPr>
        <w:t>适</w:t>
      </w:r>
      <w:proofErr w:type="gramEnd"/>
      <w:r>
        <w:rPr>
          <w:rFonts w:ascii="仿宋" w:eastAsia="仿宋" w:hAnsi="仿宋" w:hint="eastAsia"/>
          <w:sz w:val="32"/>
          <w:szCs w:val="32"/>
        </w:rPr>
        <w:t>老化改造工作成果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4625FFC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、建筑类高校科研成果展</w:t>
      </w:r>
    </w:p>
    <w:p w14:paraId="4D08E677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搭建展示平台，</w:t>
      </w:r>
      <w:r>
        <w:rPr>
          <w:rFonts w:ascii="仿宋" w:eastAsia="仿宋" w:hAnsi="仿宋" w:hint="eastAsia"/>
          <w:sz w:val="32"/>
          <w:szCs w:val="32"/>
        </w:rPr>
        <w:t>展示</w:t>
      </w:r>
      <w:r>
        <w:rPr>
          <w:rFonts w:ascii="仿宋" w:eastAsia="仿宋" w:hAnsi="仿宋" w:hint="eastAsia"/>
          <w:sz w:val="32"/>
          <w:szCs w:val="32"/>
        </w:rPr>
        <w:t>建设类院校和行业教育企业、机构的成就、科研成果和专利技术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97E4B9A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01" w:firstLine="565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b/>
          <w:color w:val="000000"/>
          <w:sz w:val="28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（二）专题展部分</w:t>
      </w:r>
    </w:p>
    <w:p w14:paraId="2D275420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、城市管理</w:t>
      </w:r>
    </w:p>
    <w:p w14:paraId="58D308CB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）城市管理执法体系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智慧城管、执法平台云管理、执法仪器及设备、城市治理经验等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3305444A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）城市综合服务平台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数字民生平台、数字产业平台、数字政务平台等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6C199DFA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）城市环境整治案例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黑臭水体整治、水环境综合整治、废弃物综合治理等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2DCE6A85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、城</w:t>
      </w:r>
      <w:r>
        <w:rPr>
          <w:rFonts w:ascii="仿宋" w:eastAsia="仿宋" w:hAnsi="仿宋" w:hint="eastAsia"/>
          <w:sz w:val="32"/>
          <w:szCs w:val="32"/>
        </w:rPr>
        <w:t>镇</w:t>
      </w:r>
      <w:r>
        <w:rPr>
          <w:rFonts w:ascii="仿宋" w:eastAsia="仿宋" w:hAnsi="仿宋" w:hint="eastAsia"/>
          <w:sz w:val="32"/>
          <w:szCs w:val="32"/>
        </w:rPr>
        <w:t>建设</w:t>
      </w:r>
    </w:p>
    <w:p w14:paraId="62D93CF7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）城市规划和城市设计</w:t>
      </w:r>
    </w:p>
    <w:p w14:paraId="4304C8F7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）海绵城市建设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海绵城市相关的新技术、新设备、新材</w:t>
      </w:r>
      <w:r>
        <w:rPr>
          <w:rFonts w:ascii="仿宋" w:eastAsia="仿宋" w:hAnsi="仿宋" w:hint="eastAsia"/>
          <w:sz w:val="32"/>
          <w:szCs w:val="32"/>
        </w:rPr>
        <w:lastRenderedPageBreak/>
        <w:t>料；城市排水；城市供水、节水、净化水</w:t>
      </w:r>
      <w:r>
        <w:rPr>
          <w:rFonts w:ascii="仿宋" w:eastAsia="仿宋" w:hAnsi="仿宋" w:hint="eastAsia"/>
          <w:sz w:val="32"/>
          <w:szCs w:val="32"/>
        </w:rPr>
        <w:t>等）</w:t>
      </w:r>
    </w:p>
    <w:p w14:paraId="299E8186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）垃圾</w:t>
      </w:r>
      <w:r>
        <w:rPr>
          <w:rFonts w:ascii="仿宋" w:eastAsia="仿宋" w:hAnsi="仿宋" w:hint="eastAsia"/>
          <w:sz w:val="32"/>
          <w:szCs w:val="32"/>
        </w:rPr>
        <w:t>分类及智能化</w:t>
      </w:r>
      <w:r>
        <w:rPr>
          <w:rFonts w:ascii="仿宋" w:eastAsia="仿宋" w:hAnsi="仿宋" w:hint="eastAsia"/>
          <w:sz w:val="32"/>
          <w:szCs w:val="32"/>
        </w:rPr>
        <w:t>处理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智慧环卫、垃圾分类处理技术与设备、环卫机械设备、清洗清洁设备等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40DBCAB2" w14:textId="77777777" w:rsidR="00641DB6" w:rsidRDefault="00F2125B">
      <w:pPr>
        <w:numPr>
          <w:ilvl w:val="0"/>
          <w:numId w:val="1"/>
        </w:num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绿色</w:t>
      </w:r>
      <w:r>
        <w:rPr>
          <w:rFonts w:ascii="仿宋" w:eastAsia="仿宋" w:hAnsi="仿宋" w:hint="eastAsia"/>
          <w:sz w:val="32"/>
          <w:szCs w:val="32"/>
        </w:rPr>
        <w:t>城市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景观规划设计、园林机械及</w:t>
      </w:r>
      <w:r>
        <w:rPr>
          <w:rFonts w:ascii="仿宋" w:eastAsia="仿宋" w:hAnsi="仿宋" w:hint="eastAsia"/>
          <w:sz w:val="32"/>
          <w:szCs w:val="32"/>
        </w:rPr>
        <w:t>园艺</w:t>
      </w:r>
      <w:r>
        <w:rPr>
          <w:rFonts w:ascii="仿宋" w:eastAsia="仿宋" w:hAnsi="仿宋" w:hint="eastAsia"/>
          <w:sz w:val="32"/>
          <w:szCs w:val="32"/>
        </w:rPr>
        <w:t>工具、苗木绿化资材、园艺产品</w:t>
      </w:r>
      <w:r>
        <w:rPr>
          <w:rFonts w:ascii="仿宋" w:eastAsia="仿宋" w:hAnsi="仿宋" w:hint="eastAsia"/>
          <w:sz w:val="32"/>
          <w:szCs w:val="32"/>
        </w:rPr>
        <w:t>等）</w:t>
      </w:r>
    </w:p>
    <w:p w14:paraId="4AFBE069" w14:textId="77777777" w:rsidR="00641DB6" w:rsidRDefault="00F2125B">
      <w:pPr>
        <w:numPr>
          <w:ilvl w:val="0"/>
          <w:numId w:val="1"/>
        </w:num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数字乡村</w:t>
      </w:r>
    </w:p>
    <w:p w14:paraId="3BDCFC81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、建筑文化</w:t>
      </w:r>
    </w:p>
    <w:p w14:paraId="27CFAAF8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）历史文化名城名镇名村</w:t>
      </w:r>
    </w:p>
    <w:p w14:paraId="64DEB838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）工业遗产再利用</w:t>
      </w:r>
    </w:p>
    <w:p w14:paraId="4F4E2B29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）历史街区</w:t>
      </w:r>
    </w:p>
    <w:p w14:paraId="04DAB68A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）传统村落</w:t>
      </w:r>
    </w:p>
    <w:p w14:paraId="55997C29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、城市建设场景创新与技术应用</w:t>
      </w:r>
    </w:p>
    <w:p w14:paraId="7C3D1B4A" w14:textId="77777777" w:rsidR="00641DB6" w:rsidRDefault="00F2125B">
      <w:pPr>
        <w:numPr>
          <w:ilvl w:val="0"/>
          <w:numId w:val="2"/>
        </w:num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智慧城市（</w:t>
      </w:r>
      <w:r>
        <w:rPr>
          <w:rFonts w:ascii="仿宋" w:eastAsia="仿宋" w:hAnsi="仿宋" w:hint="eastAsia"/>
          <w:sz w:val="32"/>
          <w:szCs w:val="32"/>
        </w:rPr>
        <w:t>CIM</w:t>
      </w:r>
      <w:r>
        <w:rPr>
          <w:rFonts w:ascii="仿宋" w:eastAsia="仿宋" w:hAnsi="仿宋" w:hint="eastAsia"/>
          <w:sz w:val="32"/>
          <w:szCs w:val="32"/>
        </w:rPr>
        <w:t>系统建设与应用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城镇燃气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城市照明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节能照明、节水器具</w:t>
      </w:r>
      <w:r>
        <w:rPr>
          <w:rFonts w:ascii="仿宋" w:eastAsia="仿宋" w:hAnsi="仿宋" w:hint="eastAsia"/>
          <w:sz w:val="32"/>
          <w:szCs w:val="32"/>
        </w:rPr>
        <w:t>、智慧灯杆</w:t>
      </w:r>
      <w:r>
        <w:rPr>
          <w:rFonts w:ascii="仿宋" w:eastAsia="仿宋" w:hAnsi="仿宋" w:hint="eastAsia"/>
          <w:sz w:val="32"/>
          <w:szCs w:val="32"/>
        </w:rPr>
        <w:t>等）</w:t>
      </w:r>
    </w:p>
    <w:p w14:paraId="4F4CE363" w14:textId="77777777" w:rsidR="00641DB6" w:rsidRDefault="00F2125B">
      <w:pPr>
        <w:numPr>
          <w:ilvl w:val="0"/>
          <w:numId w:val="2"/>
        </w:num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智能建造（建筑信息模型、物联网、大数据、云计算、移动通信、人工智能、区块链等新技术应用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先进制造设备、智能设备及智慧工地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园区相关装备的研发、制造和推广应用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53BC3065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）智慧生活</w:t>
      </w:r>
    </w:p>
    <w:p w14:paraId="75996DF3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62" w:firstLine="8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①智慧社区（基础设施：加装电梯、消防设施、新能源充电桩、智慧安防及应急管理，智慧社区系统建设；社区服务：综合服务平台、安全与运维保障、智慧物业、家政保洁、智能快件箱等）</w:t>
      </w:r>
    </w:p>
    <w:p w14:paraId="1A1C0CA0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62" w:firstLine="8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②智慧家居</w:t>
      </w:r>
      <w:r>
        <w:rPr>
          <w:rFonts w:ascii="仿宋" w:eastAsia="仿宋" w:hAnsi="仿宋" w:hint="eastAsia"/>
          <w:sz w:val="32"/>
          <w:szCs w:val="32"/>
        </w:rPr>
        <w:t>（智能照明、智能门锁、智能家电、智能检测等）</w:t>
      </w:r>
    </w:p>
    <w:p w14:paraId="411D07A7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62" w:firstLine="8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③智慧养老（</w:t>
      </w:r>
      <w:proofErr w:type="gramStart"/>
      <w:r>
        <w:rPr>
          <w:rFonts w:ascii="仿宋" w:eastAsia="仿宋" w:hAnsi="仿宋" w:hint="eastAsia"/>
          <w:sz w:val="32"/>
          <w:szCs w:val="32"/>
        </w:rPr>
        <w:t>适老设施</w:t>
      </w:r>
      <w:proofErr w:type="gramEnd"/>
      <w:r>
        <w:rPr>
          <w:rFonts w:ascii="仿宋" w:eastAsia="仿宋" w:hAnsi="仿宋" w:hint="eastAsia"/>
          <w:sz w:val="32"/>
          <w:szCs w:val="32"/>
        </w:rPr>
        <w:t>和无障碍设施、养老托育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11BB6DFC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、节能产品及新材料</w:t>
      </w:r>
    </w:p>
    <w:p w14:paraId="5E7707A1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建筑部品、节能门窗、装饰保温、地坪及弹性地材、建筑涂料、建筑防水、</w:t>
      </w:r>
      <w:proofErr w:type="gramStart"/>
      <w:r>
        <w:rPr>
          <w:rFonts w:ascii="仿宋" w:eastAsia="仿宋" w:hAnsi="仿宋" w:hint="eastAsia"/>
          <w:sz w:val="32"/>
          <w:szCs w:val="32"/>
        </w:rPr>
        <w:t>干混砂浆</w:t>
      </w:r>
      <w:proofErr w:type="gramEnd"/>
      <w:r>
        <w:rPr>
          <w:rFonts w:ascii="仿宋" w:eastAsia="仿宋" w:hAnsi="仿宋" w:hint="eastAsia"/>
          <w:sz w:val="32"/>
          <w:szCs w:val="32"/>
        </w:rPr>
        <w:t>、厨卫洁具、管材、墙体、通风、五金、板材、太阳能应用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76C9657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、智能停车系统</w:t>
      </w:r>
    </w:p>
    <w:p w14:paraId="3BD03BD5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）机械式停车设备及配套产品</w:t>
      </w:r>
    </w:p>
    <w:p w14:paraId="3E942502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）停车场收费及管理系统</w:t>
      </w:r>
    </w:p>
    <w:p w14:paraId="545C9445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）智慧停车</w:t>
      </w:r>
    </w:p>
    <w:p w14:paraId="7EB0ED09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）停车场设施</w:t>
      </w:r>
    </w:p>
    <w:p w14:paraId="64826788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二、会议及其相关活动</w:t>
      </w:r>
    </w:p>
    <w:p w14:paraId="79CAB095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为加强国内外城市建设的交流与合作，探讨城市发展路径和技术措施，</w:t>
      </w:r>
      <w:proofErr w:type="gramStart"/>
      <w:r>
        <w:rPr>
          <w:rFonts w:ascii="仿宋" w:eastAsia="仿宋" w:hAnsi="仿宋" w:hint="eastAsia"/>
          <w:sz w:val="32"/>
          <w:szCs w:val="32"/>
        </w:rPr>
        <w:t>城博会</w:t>
      </w:r>
      <w:proofErr w:type="gramEnd"/>
      <w:r>
        <w:rPr>
          <w:rFonts w:ascii="仿宋" w:eastAsia="仿宋" w:hAnsi="仿宋" w:hint="eastAsia"/>
          <w:sz w:val="32"/>
          <w:szCs w:val="32"/>
        </w:rPr>
        <w:t>同期举办相关</w:t>
      </w:r>
      <w:proofErr w:type="gramStart"/>
      <w:r>
        <w:rPr>
          <w:rFonts w:ascii="仿宋" w:eastAsia="仿宋" w:hAnsi="仿宋" w:hint="eastAsia"/>
          <w:sz w:val="32"/>
          <w:szCs w:val="32"/>
        </w:rPr>
        <w:t>配套会议</w:t>
      </w:r>
      <w:proofErr w:type="gramEnd"/>
      <w:r>
        <w:rPr>
          <w:rFonts w:ascii="仿宋" w:eastAsia="仿宋" w:hAnsi="仿宋" w:hint="eastAsia"/>
          <w:sz w:val="32"/>
          <w:szCs w:val="32"/>
        </w:rPr>
        <w:t>交流活动。</w:t>
      </w:r>
    </w:p>
    <w:p w14:paraId="6FE53EB6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proofErr w:type="gramStart"/>
      <w:r>
        <w:rPr>
          <w:rFonts w:ascii="仿宋" w:eastAsia="仿宋" w:hAnsi="仿宋" w:hint="eastAsia"/>
          <w:sz w:val="32"/>
          <w:szCs w:val="32"/>
        </w:rPr>
        <w:t>城博会</w:t>
      </w:r>
      <w:proofErr w:type="gramEnd"/>
      <w:r>
        <w:rPr>
          <w:rFonts w:ascii="仿宋" w:eastAsia="仿宋" w:hAnsi="仿宋" w:hint="eastAsia"/>
          <w:sz w:val="32"/>
          <w:szCs w:val="32"/>
        </w:rPr>
        <w:t>开幕见面会</w:t>
      </w:r>
    </w:p>
    <w:p w14:paraId="48A3AC40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主论坛——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中国城市</w:t>
      </w:r>
      <w:r>
        <w:rPr>
          <w:rFonts w:ascii="仿宋" w:eastAsia="仿宋" w:hAnsi="仿宋" w:hint="eastAsia"/>
          <w:sz w:val="32"/>
          <w:szCs w:val="32"/>
        </w:rPr>
        <w:t>科学发展论坛</w:t>
      </w:r>
    </w:p>
    <w:p w14:paraId="4A13EEE3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）智能建造好房子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绿色智慧好社区</w:t>
      </w:r>
    </w:p>
    <w:p w14:paraId="79C059EC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）中国互联互通合作者大会</w:t>
      </w:r>
    </w:p>
    <w:p w14:paraId="63469C4E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 xml:space="preserve">5G </w:t>
      </w:r>
      <w:r>
        <w:rPr>
          <w:rFonts w:ascii="仿宋" w:eastAsia="仿宋" w:hAnsi="仿宋" w:hint="eastAsia"/>
          <w:sz w:val="32"/>
          <w:szCs w:val="32"/>
        </w:rPr>
        <w:t>技术与智慧城市应用交流会</w:t>
      </w:r>
    </w:p>
    <w:p w14:paraId="26E759FE" w14:textId="77777777" w:rsidR="00641DB6" w:rsidRDefault="00F2125B">
      <w:pPr>
        <w:tabs>
          <w:tab w:val="left" w:pos="284"/>
          <w:tab w:val="left" w:pos="567"/>
        </w:tabs>
        <w:spacing w:after="10"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）国际停车北京交流会</w:t>
      </w:r>
    </w:p>
    <w:p w14:paraId="14743034" w14:textId="77777777" w:rsidR="00641DB6" w:rsidRDefault="00F2125B">
      <w:pPr>
        <w:pStyle w:val="16"/>
        <w:ind w:leftChars="334" w:left="701" w:rightChars="189" w:right="397" w:firstLineChars="0" w:firstLine="0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三、展示面积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 xml:space="preserve"> </w:t>
      </w:r>
    </w:p>
    <w:p w14:paraId="486A06F1" w14:textId="77777777" w:rsidR="00641DB6" w:rsidRDefault="00F2125B">
      <w:pPr>
        <w:autoSpaceDE w:val="0"/>
        <w:autoSpaceDN w:val="0"/>
        <w:adjustRightInd w:val="0"/>
        <w:spacing w:line="360" w:lineRule="auto"/>
        <w:ind w:rightChars="189" w:right="397"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展示面积：</w:t>
      </w:r>
      <w:r>
        <w:rPr>
          <w:rFonts w:ascii="仿宋" w:eastAsia="仿宋" w:hAnsi="仿宋" w:hint="eastAsia"/>
          <w:sz w:val="32"/>
          <w:szCs w:val="32"/>
        </w:rPr>
        <w:t>12000</w:t>
      </w:r>
      <w:r>
        <w:rPr>
          <w:rFonts w:ascii="仿宋" w:eastAsia="仿宋" w:hAnsi="仿宋" w:hint="eastAsia"/>
          <w:sz w:val="32"/>
          <w:szCs w:val="32"/>
        </w:rPr>
        <w:t>平方米</w:t>
      </w:r>
      <w:r>
        <w:rPr>
          <w:rFonts w:ascii="仿宋" w:eastAsia="仿宋" w:hAnsi="仿宋" w:hint="eastAsia"/>
          <w:sz w:val="32"/>
          <w:szCs w:val="32"/>
        </w:rPr>
        <w:tab/>
      </w:r>
    </w:p>
    <w:p w14:paraId="26993367" w14:textId="77777777" w:rsidR="00641DB6" w:rsidRDefault="00F2125B">
      <w:pPr>
        <w:pStyle w:val="16"/>
        <w:ind w:leftChars="334" w:left="701" w:rightChars="189" w:right="397" w:firstLineChars="0" w:firstLine="0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四、参展方式及收费标准</w:t>
      </w:r>
    </w:p>
    <w:p w14:paraId="5E55C6D1" w14:textId="77777777" w:rsidR="00641DB6" w:rsidRDefault="00F2125B">
      <w:pPr>
        <w:spacing w:line="360" w:lineRule="auto"/>
        <w:ind w:rightChars="189" w:right="397"/>
        <w:rPr>
          <w:rFonts w:ascii="仿宋" w:eastAsia="仿宋" w:hAnsi="仿宋"/>
          <w:color w:val="000000"/>
          <w:sz w:val="24"/>
        </w:rPr>
      </w:pPr>
      <w:r>
        <w:rPr>
          <w:rFonts w:ascii="宋体" w:hint="eastAsia"/>
          <w:color w:val="000000"/>
          <w:sz w:val="30"/>
        </w:rPr>
        <w:lastRenderedPageBreak/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参展单位可选择光地自由搭建展品，也可选择标准展位展示。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320"/>
        <w:gridCol w:w="3203"/>
      </w:tblGrid>
      <w:tr w:rsidR="00641DB6" w14:paraId="4143E216" w14:textId="77777777">
        <w:trPr>
          <w:trHeight w:val="5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B915F2" w14:textId="77777777" w:rsidR="00641DB6" w:rsidRDefault="00F2125B">
            <w:pPr>
              <w:ind w:rightChars="189" w:right="397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展区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BAC79" w14:textId="77777777" w:rsidR="00641DB6" w:rsidRDefault="00F2125B">
            <w:pPr>
              <w:ind w:rightChars="189" w:right="397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标准展位（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3m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×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4m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）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46357" w14:textId="77777777" w:rsidR="00641DB6" w:rsidRDefault="00F2125B">
            <w:pPr>
              <w:ind w:rightChars="189" w:right="397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光地（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54 m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²起租）</w:t>
            </w:r>
          </w:p>
        </w:tc>
      </w:tr>
      <w:tr w:rsidR="00641DB6" w14:paraId="10F35369" w14:textId="77777777">
        <w:trPr>
          <w:trHeight w:val="4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54BE5" w14:textId="77777777" w:rsidR="00641DB6" w:rsidRDefault="00F2125B">
            <w:pPr>
              <w:ind w:rightChars="189" w:right="397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国内展区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D6B3B" w14:textId="77777777" w:rsidR="00641DB6" w:rsidRDefault="00F2125B">
            <w:pPr>
              <w:ind w:rightChars="189" w:right="397" w:firstLine="64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1400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元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/ m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878482" w14:textId="77777777" w:rsidR="00641DB6" w:rsidRDefault="00F2125B">
            <w:pPr>
              <w:ind w:rightChars="189" w:right="397" w:firstLine="640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1300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元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/ m</w:t>
            </w: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²</w:t>
            </w:r>
          </w:p>
        </w:tc>
      </w:tr>
    </w:tbl>
    <w:p w14:paraId="61D39100" w14:textId="77777777" w:rsidR="00641DB6" w:rsidRDefault="00F2125B">
      <w:pPr>
        <w:pStyle w:val="16"/>
        <w:ind w:leftChars="334" w:left="701" w:rightChars="189" w:right="397" w:firstLineChars="0" w:firstLine="0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五、</w:t>
      </w:r>
      <w:proofErr w:type="gramStart"/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城博会</w:t>
      </w:r>
      <w:proofErr w:type="gramEnd"/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秘书处联系方式</w:t>
      </w:r>
    </w:p>
    <w:p w14:paraId="5668273D" w14:textId="77777777" w:rsidR="002D7A80" w:rsidRPr="002D7A80" w:rsidRDefault="002D7A80" w:rsidP="002D7A80">
      <w:pPr>
        <w:spacing w:before="156" w:after="10" w:line="360" w:lineRule="exact"/>
        <w:rPr>
          <w:rFonts w:ascii="黑体" w:eastAsia="黑体" w:hAnsi="宋体"/>
          <w:b/>
          <w:kern w:val="2"/>
          <w:sz w:val="28"/>
          <w:szCs w:val="28"/>
        </w:rPr>
      </w:pPr>
      <w:r w:rsidRPr="002D7A80">
        <w:rPr>
          <w:rFonts w:ascii="黑体" w:eastAsia="黑体" w:hAnsi="宋体"/>
          <w:b/>
          <w:kern w:val="2"/>
          <w:sz w:val="28"/>
          <w:szCs w:val="28"/>
        </w:rPr>
        <w:t>联 系 人：贾俊峰</w:t>
      </w:r>
    </w:p>
    <w:p w14:paraId="74B63655" w14:textId="77777777" w:rsidR="002D7A80" w:rsidRPr="002D7A80" w:rsidRDefault="002D7A80" w:rsidP="002D7A80">
      <w:pPr>
        <w:spacing w:before="156" w:after="10" w:line="360" w:lineRule="exact"/>
        <w:rPr>
          <w:rFonts w:ascii="黑体" w:eastAsia="黑体" w:hAnsi="宋体"/>
          <w:b/>
          <w:kern w:val="2"/>
          <w:sz w:val="28"/>
          <w:szCs w:val="28"/>
        </w:rPr>
      </w:pP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手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机： 13611332944(同是微信）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 电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话： 010--88082054</w:t>
      </w:r>
    </w:p>
    <w:p w14:paraId="0D4F5FA8" w14:textId="77777777" w:rsidR="002D7A80" w:rsidRPr="002D7A80" w:rsidRDefault="002D7A80" w:rsidP="002D7A80">
      <w:pPr>
        <w:spacing w:before="156" w:after="10" w:line="360" w:lineRule="exact"/>
        <w:rPr>
          <w:rFonts w:ascii="黑体" w:eastAsia="黑体" w:hAnsi="宋体"/>
          <w:b/>
          <w:kern w:val="2"/>
          <w:sz w:val="28"/>
          <w:szCs w:val="28"/>
        </w:rPr>
      </w:pP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传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真： 010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—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88082034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 邮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 xml:space="preserve"> 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 </w:t>
      </w:r>
      <w:r w:rsidRPr="002D7A80">
        <w:rPr>
          <w:rFonts w:ascii="黑体" w:eastAsia="黑体" w:hAnsi="宋体"/>
          <w:b/>
          <w:kern w:val="2"/>
          <w:sz w:val="28"/>
          <w:szCs w:val="28"/>
        </w:rPr>
        <w:t>箱： 583729071@qq.com</w:t>
      </w:r>
    </w:p>
    <w:p w14:paraId="39155E6A" w14:textId="77777777" w:rsidR="002D7A80" w:rsidRPr="002D7A80" w:rsidRDefault="002D7A80" w:rsidP="002D7A80">
      <w:pPr>
        <w:spacing w:before="156" w:after="10" w:line="360" w:lineRule="exact"/>
        <w:rPr>
          <w:rFonts w:ascii="黑体" w:eastAsia="黑体" w:hAnsi="宋体"/>
          <w:b/>
          <w:kern w:val="2"/>
          <w:sz w:val="28"/>
          <w:szCs w:val="28"/>
        </w:rPr>
      </w:pPr>
      <w:r w:rsidRPr="002D7A80">
        <w:rPr>
          <w:rFonts w:ascii="黑体" w:eastAsia="黑体" w:hAnsi="宋体"/>
          <w:b/>
          <w:kern w:val="2"/>
          <w:sz w:val="28"/>
          <w:szCs w:val="28"/>
        </w:rPr>
        <w:t>组委会官方网站：http://www.zgzbh518.com</w:t>
      </w:r>
    </w:p>
    <w:p w14:paraId="698D60A8" w14:textId="24DD3C89" w:rsidR="00641DB6" w:rsidRPr="002D7A80" w:rsidRDefault="00641DB6" w:rsidP="002D7A80">
      <w:pPr>
        <w:ind w:leftChars="304" w:left="638" w:rightChars="189" w:right="397"/>
      </w:pPr>
    </w:p>
    <w:sectPr w:rsidR="00641DB6" w:rsidRPr="002D7A80">
      <w:headerReference w:type="default" r:id="rId8"/>
      <w:footerReference w:type="default" r:id="rId9"/>
      <w:pgSz w:w="11906" w:h="16838"/>
      <w:pgMar w:top="1418" w:right="1020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DE136" w14:textId="77777777" w:rsidR="00F2125B" w:rsidRDefault="00F2125B">
      <w:r>
        <w:separator/>
      </w:r>
    </w:p>
  </w:endnote>
  <w:endnote w:type="continuationSeparator" w:id="0">
    <w:p w14:paraId="15EB8B10" w14:textId="77777777" w:rsidR="00F2125B" w:rsidRDefault="00F2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624B" w14:textId="77777777" w:rsidR="00641DB6" w:rsidRDefault="00F2125B">
    <w:pPr>
      <w:tabs>
        <w:tab w:val="center" w:pos="4153"/>
        <w:tab w:val="right" w:pos="8306"/>
      </w:tabs>
      <w:snapToGrid w:val="0"/>
      <w:jc w:val="center"/>
      <w:rPr>
        <w:sz w:val="18"/>
      </w:rPr>
    </w:pP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  <w:p w14:paraId="64BF8181" w14:textId="77777777" w:rsidR="00641DB6" w:rsidRDefault="00641DB6">
    <w:pPr>
      <w:tabs>
        <w:tab w:val="center" w:pos="4153"/>
        <w:tab w:val="right" w:pos="8306"/>
      </w:tabs>
      <w:snapToGrid w:val="0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8CEC" w14:textId="77777777" w:rsidR="00F2125B" w:rsidRDefault="00F2125B">
      <w:r>
        <w:separator/>
      </w:r>
    </w:p>
  </w:footnote>
  <w:footnote w:type="continuationSeparator" w:id="0">
    <w:p w14:paraId="2AA662CB" w14:textId="77777777" w:rsidR="00F2125B" w:rsidRDefault="00F2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54F2" w14:textId="77777777" w:rsidR="00641DB6" w:rsidRDefault="00641DB6">
    <w:pPr>
      <w:tabs>
        <w:tab w:val="center" w:pos="4422"/>
      </w:tabs>
      <w:autoSpaceDE w:val="0"/>
      <w:autoSpaceDN w:val="0"/>
      <w:jc w:val="lef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05AC1B"/>
    <w:multiLevelType w:val="singleLevel"/>
    <w:tmpl w:val="8E05AC1B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1BB5EA01"/>
    <w:multiLevelType w:val="singleLevel"/>
    <w:tmpl w:val="1BB5EA0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8C"/>
    <w:rsid w:val="00032BCD"/>
    <w:rsid w:val="000A53A0"/>
    <w:rsid w:val="00156B9D"/>
    <w:rsid w:val="001A20B1"/>
    <w:rsid w:val="002100F7"/>
    <w:rsid w:val="002D7A80"/>
    <w:rsid w:val="002F21FF"/>
    <w:rsid w:val="002F51B4"/>
    <w:rsid w:val="00321499"/>
    <w:rsid w:val="003C0EF9"/>
    <w:rsid w:val="003F7085"/>
    <w:rsid w:val="00450EFE"/>
    <w:rsid w:val="004B65A1"/>
    <w:rsid w:val="004B6CFB"/>
    <w:rsid w:val="004E7C7C"/>
    <w:rsid w:val="005C03ED"/>
    <w:rsid w:val="005C4998"/>
    <w:rsid w:val="0060266F"/>
    <w:rsid w:val="0060764E"/>
    <w:rsid w:val="00641DB6"/>
    <w:rsid w:val="006F593A"/>
    <w:rsid w:val="007512B8"/>
    <w:rsid w:val="0075175F"/>
    <w:rsid w:val="00766D69"/>
    <w:rsid w:val="00773F4D"/>
    <w:rsid w:val="008247A3"/>
    <w:rsid w:val="00827C2C"/>
    <w:rsid w:val="008B1EB8"/>
    <w:rsid w:val="009C0071"/>
    <w:rsid w:val="00A14AE8"/>
    <w:rsid w:val="00A30596"/>
    <w:rsid w:val="00A75B1A"/>
    <w:rsid w:val="00A82223"/>
    <w:rsid w:val="00A836A9"/>
    <w:rsid w:val="00B218B2"/>
    <w:rsid w:val="00B246A9"/>
    <w:rsid w:val="00B521DE"/>
    <w:rsid w:val="00B7551B"/>
    <w:rsid w:val="00B81611"/>
    <w:rsid w:val="00BF01C0"/>
    <w:rsid w:val="00C10C82"/>
    <w:rsid w:val="00C60642"/>
    <w:rsid w:val="00CA4661"/>
    <w:rsid w:val="00CB6E59"/>
    <w:rsid w:val="00CF6008"/>
    <w:rsid w:val="00D309F7"/>
    <w:rsid w:val="00D32BE2"/>
    <w:rsid w:val="00D52D00"/>
    <w:rsid w:val="00D613C5"/>
    <w:rsid w:val="00D8038C"/>
    <w:rsid w:val="00D8297E"/>
    <w:rsid w:val="00D967DE"/>
    <w:rsid w:val="00DD7AC3"/>
    <w:rsid w:val="00E77A09"/>
    <w:rsid w:val="00E82175"/>
    <w:rsid w:val="00EB557F"/>
    <w:rsid w:val="00EB6351"/>
    <w:rsid w:val="00F2125B"/>
    <w:rsid w:val="00F55D67"/>
    <w:rsid w:val="00FA07CC"/>
    <w:rsid w:val="00FA22D8"/>
    <w:rsid w:val="00FB594B"/>
    <w:rsid w:val="00FF22C0"/>
    <w:rsid w:val="00FF798C"/>
    <w:rsid w:val="01EB59C4"/>
    <w:rsid w:val="092341CF"/>
    <w:rsid w:val="136B2A06"/>
    <w:rsid w:val="1F9476AC"/>
    <w:rsid w:val="25E87634"/>
    <w:rsid w:val="26A73E71"/>
    <w:rsid w:val="29330EAD"/>
    <w:rsid w:val="2CF0476F"/>
    <w:rsid w:val="2D0D3AAB"/>
    <w:rsid w:val="2E177B59"/>
    <w:rsid w:val="2EFF101F"/>
    <w:rsid w:val="2F0A22B1"/>
    <w:rsid w:val="30165CC3"/>
    <w:rsid w:val="34C13949"/>
    <w:rsid w:val="350107A0"/>
    <w:rsid w:val="389B368C"/>
    <w:rsid w:val="3C915AD7"/>
    <w:rsid w:val="3DAC0E6B"/>
    <w:rsid w:val="425710C8"/>
    <w:rsid w:val="487D77E0"/>
    <w:rsid w:val="4A791E86"/>
    <w:rsid w:val="4E287C27"/>
    <w:rsid w:val="506468EF"/>
    <w:rsid w:val="518F2417"/>
    <w:rsid w:val="5FEA6C5C"/>
    <w:rsid w:val="62D33F4D"/>
    <w:rsid w:val="65AB291A"/>
    <w:rsid w:val="681B2803"/>
    <w:rsid w:val="695A1DA8"/>
    <w:rsid w:val="6B0751AA"/>
    <w:rsid w:val="6CF451C2"/>
    <w:rsid w:val="6FB348D1"/>
    <w:rsid w:val="72F934AA"/>
    <w:rsid w:val="752012F9"/>
    <w:rsid w:val="7C4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D846C"/>
  <w15:docId w15:val="{76723E6F-03C9-4AD7-AE5A-43BE63E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en-US"/>
    </w:rPr>
  </w:style>
  <w:style w:type="paragraph" w:styleId="aa">
    <w:name w:val="Title"/>
    <w:basedOn w:val="a"/>
    <w:next w:val="a"/>
    <w:link w:val="ab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标题 7 字符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副标题 字符"/>
    <w:basedOn w:val="a0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af0">
    <w:name w:val="Quote"/>
    <w:basedOn w:val="a"/>
    <w:next w:val="a"/>
    <w:link w:val="af1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af1">
    <w:name w:val="引用 字符"/>
    <w:basedOn w:val="a0"/>
    <w:link w:val="af0"/>
    <w:uiPriority w:val="29"/>
    <w:qFormat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af3">
    <w:name w:val="明显引用 字符"/>
    <w:basedOn w:val="a0"/>
    <w:link w:val="af2"/>
    <w:uiPriority w:val="30"/>
    <w:qFormat/>
    <w:rPr>
      <w:b/>
      <w:bCs/>
      <w:i/>
      <w:iCs/>
      <w:color w:val="4F81BD" w:themeColor="accent1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7">
    <w:name w:val="页眉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  <w:lang w:eastAsia="zh-CN" w:bidi="ar-SA"/>
    </w:rPr>
  </w:style>
  <w:style w:type="character" w:customStyle="1" w:styleId="a5">
    <w:name w:val="页脚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  <w:lang w:eastAsia="zh-CN" w:bidi="ar-SA"/>
    </w:rPr>
  </w:style>
  <w:style w:type="paragraph" w:customStyle="1" w:styleId="16">
    <w:name w:val="列出段落1"/>
    <w:basedOn w:val="a"/>
    <w:uiPriority w:val="34"/>
    <w:qFormat/>
    <w:pPr>
      <w:ind w:firstLineChars="200" w:firstLine="420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2109</Characters>
  <Application>Microsoft Office Word</Application>
  <DocSecurity>0</DocSecurity>
  <Lines>17</Lines>
  <Paragraphs>4</Paragraphs>
  <ScaleCrop>false</ScaleCrop>
  <Company>CHINA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贾 俊峰</cp:lastModifiedBy>
  <cp:revision>2</cp:revision>
  <cp:lastPrinted>2020-06-02T06:25:00Z</cp:lastPrinted>
  <dcterms:created xsi:type="dcterms:W3CDTF">2021-01-06T06:39:00Z</dcterms:created>
  <dcterms:modified xsi:type="dcterms:W3CDTF">2021-01-06T06:39:00Z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